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 w:line="276" w:lineRule="auto"/>
        <w:jc w:val="center"/>
        <w:pStyle w:val="Heading1"/>
      </w:pPr>
      <w:r>
        <w:rPr>
          <w:b/>
          <w:bCs/>
          <w:sz w:val="32"/>
          <w:szCs w:val="32"/>
          <w:color w:val="2E5C9E"/>
          <w:rFonts w:ascii="Calibri" w:hAnsi="Calibri" w:cs="Calibri"/>
        </w:rPr>
        <w:t xml:space="preserve">NotJus — Validade Jurídica da Notificação Extrajudicial Eletrônica</w:t>
      </w:r>
    </w:p>
    <w:p>
      <w:pPr>
        <w:spacing w:after="360" w:line="276" w:lineRule="auto"/>
        <w:jc w:val="center"/>
      </w:pPr>
      <w:r>
        <w:rPr>
          <w:i/>
          <w:color w:val="666666"/>
          <w:rFonts w:ascii="Calibri" w:hAnsi="Calibri" w:cs="Calibri"/>
        </w:rPr>
        <w:t xml:space="preserve">Documento técnico-jurídico de referência — Maio/2026</w:t>
      </w:r>
    </w:p>
    <w:p>
      <w:pPr>
        <w:spacing w:after="120" w:line="276" w:lineRule="auto"/>
        <w:pStyle w:val="Heading1"/>
      </w:pPr>
      <w:r>
        <w:rPr>
          <w:b/>
          <w:bCs/>
          <w:sz w:val="26"/>
          <w:szCs w:val="26"/>
          <w:color w:val="2E5C9E"/>
          <w:rFonts w:ascii="Calibri" w:hAnsi="Calibri" w:cs="Calibri"/>
        </w:rPr>
        <w:t xml:space="preserve">1. A pergunta</w:t>
      </w:r>
    </w:p>
    <w:p>
      <w:pPr>
        <w:spacing w:after="120" w:line="276" w:lineRule="auto"/>
      </w:pPr>
      <w:r>
        <w:rPr>
          <w:rFonts w:ascii="Calibri" w:hAnsi="Calibri" w:cs="Calibri"/>
        </w:rPr>
        <w:t xml:space="preserve">Se um destinatário confirma o recebimento da notificação pelo WhatsApp (duplo tique azul), abre o e-mail (rastreado por pixel) ou tem o SMS entregue pela operadora, isso já basta como prova de ciência da notificação extrajudicial?</w:t>
      </w:r>
    </w:p>
    <w:p>
      <w:pPr>
        <w:spacing w:after="120" w:line="276" w:lineRule="auto"/>
        <w:pStyle w:val="Heading1"/>
      </w:pPr>
      <w:r>
        <w:rPr>
          <w:b/>
          <w:bCs/>
          <w:sz w:val="26"/>
          <w:szCs w:val="26"/>
          <w:color w:val="2E5C9E"/>
          <w:rFonts w:ascii="Calibri" w:hAnsi="Calibri" w:cs="Calibri"/>
        </w:rPr>
        <w:t xml:space="preserve">2. Resposta direta</w:t>
      </w:r>
    </w:p>
    <w:p>
      <w:pPr>
        <w:spacing w:after="120" w:line="276" w:lineRule="auto"/>
      </w:pPr>
      <w:r>
        <w:rPr>
          <w:rFonts w:ascii="Calibri" w:hAnsi="Calibri" w:cs="Calibri"/>
        </w:rPr>
        <w:t xml:space="preserve">Vale como prova, mas com nuances importantes. A jurisprudência admite leitura de WhatsApp, abertura de e-mail e entrega de SMS como meio de notificação eletrônica, desde que demonstrada a ciência inequívoca do destinatário (Enunciado 619 do CJF). Cada um desses sinais, isoladamente, é contestável. A robustez probatória aumenta quando se combinam múltiplos sinais e — sobretudo — quando há autenticação ativa do destinatário no acesso ao conteúdo.</w:t>
      </w:r>
    </w:p>
    <w:p>
      <w:pPr>
        <w:spacing w:after="120" w:line="276" w:lineRule="auto"/>
        <w:pStyle w:val="Heading1"/>
      </w:pPr>
      <w:r>
        <w:rPr>
          <w:b/>
          <w:bCs/>
          <w:sz w:val="26"/>
          <w:szCs w:val="26"/>
          <w:color w:val="2E5C9E"/>
          <w:rFonts w:ascii="Calibri" w:hAnsi="Calibri" w:cs="Calibri"/>
        </w:rPr>
        <w:t xml:space="preserve">3. Fundamentos legais</w:t>
      </w:r>
    </w:p>
    <w:p>
      <w:pPr>
        <w:spacing w:after="120" w:line="276" w:lineRule="auto"/>
      </w:pPr>
      <w:r>
        <w:rPr>
          <w:b/>
          <w:bCs/>
          <w:rFonts w:ascii="Calibri" w:hAnsi="Calibri" w:cs="Calibri"/>
        </w:rPr>
        <w:t xml:space="preserve">Código Civil, arts. 394 a 399 </w:t>
      </w:r>
      <w:r>
        <w:rPr>
          <w:rFonts w:ascii="Calibri" w:hAnsi="Calibri" w:cs="Calibri"/>
        </w:rPr>
        <w:t xml:space="preserve">— constituição em mora do devedor por interpelação extrajudicial.</w:t>
      </w:r>
    </w:p>
    <w:p>
      <w:pPr>
        <w:spacing w:after="120" w:line="276" w:lineRule="auto"/>
      </w:pPr>
      <w:r>
        <w:rPr>
          <w:b/>
          <w:bCs/>
          <w:rFonts w:ascii="Calibri" w:hAnsi="Calibri" w:cs="Calibri"/>
        </w:rPr>
        <w:t xml:space="preserve">Código de Processo Civil, art. 369 </w:t>
      </w:r>
      <w:r>
        <w:rPr>
          <w:rFonts w:ascii="Calibri" w:hAnsi="Calibri" w:cs="Calibri"/>
        </w:rPr>
        <w:t xml:space="preserve">— admite todos os meios legais de prova, ainda que não especificados em lei, para provar fatos relevantes.</w:t>
      </w:r>
    </w:p>
    <w:p>
      <w:pPr>
        <w:spacing w:after="120" w:line="276" w:lineRule="auto"/>
      </w:pPr>
      <w:r>
        <w:rPr>
          <w:b/>
          <w:bCs/>
          <w:rFonts w:ascii="Calibri" w:hAnsi="Calibri" w:cs="Calibri"/>
        </w:rPr>
        <w:t xml:space="preserve">Enunciado 619 do CJF (VIII Jornada de Direito Civil) </w:t>
      </w:r>
      <w:r>
        <w:rPr>
          <w:rFonts w:ascii="Calibri" w:hAnsi="Calibri" w:cs="Calibri"/>
        </w:rPr>
        <w:t xml:space="preserve">— "A notificação extrajudicial pode ser realizada por meio eletrônico, desde que demonstrada a ciência inequívoca do destinatário."</w:t>
      </w:r>
    </w:p>
    <w:p>
      <w:pPr>
        <w:spacing w:after="120" w:line="276" w:lineRule="auto"/>
      </w:pPr>
      <w:r>
        <w:rPr>
          <w:b/>
          <w:bCs/>
          <w:rFonts w:ascii="Calibri" w:hAnsi="Calibri" w:cs="Calibri"/>
        </w:rPr>
        <w:t xml:space="preserve">Lei nº 13.709/2018 (LGPD) </w:t>
      </w:r>
      <w:r>
        <w:rPr>
          <w:rFonts w:ascii="Calibri" w:hAnsi="Calibri" w:cs="Calibri"/>
        </w:rPr>
        <w:t xml:space="preserve">— exige base legal e finalidade legítima para tratamento de dados pessoais nas comunicações.</w:t>
      </w:r>
    </w:p>
    <w:p>
      <w:pPr>
        <w:spacing w:after="120" w:line="276" w:lineRule="auto"/>
        <w:pStyle w:val="Heading1"/>
      </w:pPr>
      <w:r>
        <w:rPr>
          <w:b/>
          <w:bCs/>
          <w:sz w:val="26"/>
          <w:szCs w:val="26"/>
          <w:color w:val="2E5C9E"/>
          <w:rFonts w:ascii="Calibri" w:hAnsi="Calibri" w:cs="Calibri"/>
        </w:rPr>
        <w:t xml:space="preserve">4. Sinais técnicos comuns e suas fragilidades probatórias</w:t>
      </w:r>
    </w:p>
    <w:p>
      <w:pPr>
        <w:spacing w:after="120" w:line="276" w:lineRule="auto"/>
      </w:pPr>
      <w:r>
        <w:rPr>
          <w:rFonts w:ascii="Calibri" w:hAnsi="Calibri" w:cs="Calibri"/>
        </w:rPr>
        <w:t xml:space="preserve">Cada canal eletrônico isolado pode ser questionado em juízo. A tabela abaixo resume os contra-argumentos típicos da defesa:</w:t>
      </w:r>
    </w:p>
    <w:tbl>
      <w:tblPr>
        <w:tblStyle w:val="TableGrid"/>
        <w:tblW w:w="9000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3000"/>
        <w:gridCol w:w="6000"/>
      </w:tblGrid>
      <w:tr>
        <w:trPr>
          <w:tblHeader/>
        </w:trPr>
        <w:tc>
          <w:tcPr>
            <w:tcW w:w="3000" w:type="dxa"/>
            <w:shd w:val="clear" w:color="auto" w:fill="2E5C9E"/>
          </w:tcPr>
          <w:p>
            <w:pPr>
              <w:spacing w:after="60"/>
            </w:pPr>
            <w:r>
              <w:rPr>
                <w:b/>
                <w:color w:val="FFFFFF"/>
                <w:rFonts w:ascii="Calibri" w:hAnsi="Calibri"/>
                <w:sz w:val="20"/>
              </w:rPr>
              <w:t xml:space="preserve">Sinal técnico</w:t>
            </w:r>
          </w:p>
        </w:tc>
        <w:tc>
          <w:tcPr>
            <w:tcW w:w="6000" w:type="dxa"/>
            <w:shd w:val="clear" w:color="auto" w:fill="2E5C9E"/>
          </w:tcPr>
          <w:p>
            <w:pPr>
              <w:spacing w:after="60"/>
            </w:pPr>
            <w:r>
              <w:rPr>
                <w:b/>
                <w:color w:val="FFFFFF"/>
                <w:rFonts w:ascii="Calibri" w:hAnsi="Calibri"/>
                <w:sz w:val="20"/>
              </w:rPr>
              <w:t xml:space="preserve">Contra-argumento típico do destinatário</w:t>
            </w:r>
          </w:p>
        </w:tc>
      </w:tr>
      <w:tr>
        <w:tc>
          <w:tcPr>
            <w:tcW w:w="3000" w:type="dxa"/>
          </w:tcPr>
          <w:p>
            <w:pPr>
              <w:spacing w:after="60"/>
            </w:pPr>
            <w:r>
              <w:rPr>
                <w:rFonts w:ascii="Calibri" w:hAnsi="Calibri"/>
                <w:sz w:val="20"/>
              </w:rPr>
              <w:t xml:space="preserve">WhatsApp "entregue" (1 tique)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rFonts w:ascii="Calibri" w:hAnsi="Calibri"/>
                <w:sz w:val="20"/>
              </w:rPr>
              <w:t xml:space="preserve">Celular ficou com terceiro; número errado; aparelho roubado/perdido.</w:t>
            </w:r>
          </w:p>
        </w:tc>
      </w:tr>
      <w:tr>
        <w:tc>
          <w:tcPr>
            <w:tcW w:w="3000" w:type="dxa"/>
          </w:tcPr>
          <w:p>
            <w:pPr>
              <w:spacing w:after="60"/>
            </w:pPr>
            <w:r>
              <w:rPr>
                <w:rFonts w:ascii="Calibri" w:hAnsi="Calibri"/>
                <w:sz w:val="20"/>
              </w:rPr>
              <w:t xml:space="preserve">WhatsApp "lido" (2 tiques azuis)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rFonts w:ascii="Calibri" w:hAnsi="Calibri"/>
                <w:sz w:val="20"/>
              </w:rPr>
              <w:t xml:space="preserve">Read receipts são do app, não atestam que eu li; outra pessoa do convívio acessou; configuração de privacidade desativa o sinal.</w:t>
            </w:r>
          </w:p>
        </w:tc>
      </w:tr>
      <w:tr>
        <w:tc>
          <w:tcPr>
            <w:tcW w:w="3000" w:type="dxa"/>
          </w:tcPr>
          <w:p>
            <w:pPr>
              <w:spacing w:after="60"/>
            </w:pPr>
            <w:r>
              <w:rPr>
                <w:rFonts w:ascii="Calibri" w:hAnsi="Calibri"/>
                <w:sz w:val="20"/>
              </w:rPr>
              <w:t xml:space="preserve">E-mail aberto (pixel de rastreamento)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rFonts w:ascii="Calibri" w:hAnsi="Calibri"/>
                <w:sz w:val="20"/>
              </w:rPr>
              <w:t xml:space="preserve">Cliente de e-mail pré-renderiza imagens automaticamente; antivírus ou filtro corporativo testou o link; mensagem foi para spam.</w:t>
            </w:r>
          </w:p>
        </w:tc>
      </w:tr>
      <w:tr>
        <w:tc>
          <w:tcPr>
            <w:tcW w:w="3000" w:type="dxa"/>
          </w:tcPr>
          <w:p>
            <w:pPr>
              <w:spacing w:after="60"/>
            </w:pPr>
            <w:r>
              <w:rPr>
                <w:rFonts w:ascii="Calibri" w:hAnsi="Calibri"/>
                <w:sz w:val="20"/>
              </w:rPr>
              <w:t xml:space="preserve">SMS entregue</w:t>
            </w:r>
          </w:p>
        </w:tc>
        <w:tc>
          <w:tcPr>
            <w:tcW w:w="6000" w:type="dxa"/>
          </w:tcPr>
          <w:p>
            <w:pPr>
              <w:spacing w:after="60"/>
            </w:pPr>
            <w:r>
              <w:rPr>
                <w:rFonts w:ascii="Calibri" w:hAnsi="Calibri"/>
                <w:sz w:val="20"/>
              </w:rPr>
              <w:t xml:space="preserve">Operadora confirma entrega ao aparelho, não que eu tenha lido; chip clonado.</w:t>
            </w:r>
          </w:p>
        </w:tc>
      </w:tr>
    </w:tbl>
    <w:p/>
    <w:p>
      <w:pPr>
        <w:spacing w:after="120" w:line="276" w:lineRule="auto"/>
        <w:pStyle w:val="Heading1"/>
      </w:pPr>
      <w:r>
        <w:rPr>
          <w:b/>
          <w:bCs/>
          <w:sz w:val="26"/>
          <w:szCs w:val="26"/>
          <w:color w:val="2E5C9E"/>
          <w:rFonts w:ascii="Calibri" w:hAnsi="Calibri" w:cs="Calibri"/>
        </w:rPr>
        <w:t xml:space="preserve">5. Por que o fluxo de OTP do NotJus blinda a notificação</w:t>
      </w:r>
    </w:p>
    <w:p>
      <w:pPr>
        <w:spacing w:after="120" w:line="276" w:lineRule="auto"/>
      </w:pPr>
      <w:r>
        <w:rPr>
          <w:rFonts w:ascii="Calibri" w:hAnsi="Calibri" w:cs="Calibri"/>
        </w:rPr>
        <w:t xml:space="preserve">O NotJus não depende exclusivamente dos sinais passivos acima. O acesso ao conteúdo da notificação exige autenticação ativa do destinatário, que reúne três elementos simultâneos:</w:t>
      </w:r>
    </w:p>
    <w:p>
      <w:pPr>
        <w:spacing w:after="120" w:line="276" w:lineRule="auto"/>
      </w:pPr>
      <w:r>
        <w:rPr>
          <w:b/>
          <w:bCs/>
          <w:rFonts w:ascii="Calibri" w:hAnsi="Calibri" w:cs="Calibri"/>
        </w:rPr>
        <w:t xml:space="preserve">Posse do dispositivo. </w:t>
      </w:r>
      <w:r>
        <w:rPr>
          <w:rFonts w:ascii="Calibri" w:hAnsi="Calibri" w:cs="Calibri"/>
        </w:rPr>
        <w:t xml:space="preserve">O OTP é enviado ao canal cadastrado (WhatsApp/e-mail/SMS) e só pode ser capturado por quem detém o aparelho.</w:t>
      </w:r>
    </w:p>
    <w:p>
      <w:pPr>
        <w:spacing w:after="120" w:line="276" w:lineRule="auto"/>
      </w:pPr>
      <w:r>
        <w:rPr>
          <w:b/>
          <w:bCs/>
          <w:rFonts w:ascii="Calibri" w:hAnsi="Calibri" w:cs="Calibri"/>
        </w:rPr>
        <w:t xml:space="preserve">Ação afirmativa. </w:t>
      </w:r>
      <w:r>
        <w:rPr>
          <w:rFonts w:ascii="Calibri" w:hAnsi="Calibri" w:cs="Calibri"/>
        </w:rPr>
        <w:t xml:space="preserve">O destinatário precisa digitar o código de 4 dígitos no formulário público — afasta a defesa de "leitura passiva ou automática" comum em e-mail e WhatsApp.</w:t>
      </w:r>
    </w:p>
    <w:p>
      <w:pPr>
        <w:spacing w:after="120" w:line="276" w:lineRule="auto"/>
      </w:pPr>
      <w:r>
        <w:rPr>
          <w:b/>
          <w:bCs/>
          <w:rFonts w:ascii="Calibri" w:hAnsi="Calibri" w:cs="Calibri"/>
        </w:rPr>
        <w:t xml:space="preserve">Registro autenticado. </w:t>
      </w:r>
      <w:r>
        <w:rPr>
          <w:rFonts w:ascii="Calibri" w:hAnsi="Calibri" w:cs="Calibri"/>
        </w:rPr>
        <w:t xml:space="preserve">O acesso ao conteúdo é gravado em banco com IP, user-agent, timestamp e identificador do dispositivo (tabela notificacoes_visualizacao).</w:t>
      </w:r>
    </w:p>
    <w:p>
      <w:pPr>
        <w:spacing w:after="120" w:line="276" w:lineRule="auto"/>
      </w:pPr>
      <w:r>
        <w:rPr>
          <w:rFonts w:ascii="Calibri" w:hAnsi="Calibri" w:cs="Calibri"/>
        </w:rPr>
        <w:t xml:space="preserve">Esses três elementos, em conjunto, atendem com folga ao requisito de "ciência inequívoca" do Enunciado 619 do CJF. Em termos práticos, é o equivalente digital do "AR mão própria" dos Correios — o ônus probatório de contestação se inverte para o destinatário, que precisaria alegar e provar fato concreto (subtração do dispositivo, fraude eletrônica comprovada) para afastar a presunção de ciência.</w:t>
      </w:r>
    </w:p>
    <w:p>
      <w:pPr>
        <w:spacing w:after="120" w:line="276" w:lineRule="auto"/>
        <w:pStyle w:val="Heading1"/>
      </w:pPr>
      <w:r>
        <w:rPr>
          <w:b/>
          <w:bCs/>
          <w:sz w:val="26"/>
          <w:szCs w:val="26"/>
          <w:color w:val="2E5C9E"/>
          <w:rFonts w:ascii="Calibri" w:hAnsi="Calibri" w:cs="Calibri"/>
        </w:rPr>
        <w:t xml:space="preserve">6. Recomendação operacional</w:t>
      </w:r>
    </w:p>
    <w:p>
      <w:pPr>
        <w:spacing w:after="120" w:line="276" w:lineRule="auto"/>
      </w:pPr>
      <w:r>
        <w:rPr>
          <w:rFonts w:ascii="Calibri" w:hAnsi="Calibri" w:cs="Calibri"/>
        </w:rPr>
        <w:t xml:space="preserve">Para 99% das notificações extrajudiciais (cobrança de dívida, comunicação de rescisão, interpelação para constituição em mora), os sinais combinados de entrega + leitura pelos canais bastam — e são aceitos pelo STJ.</w:t>
      </w:r>
    </w:p>
    <w:p>
      <w:pPr>
        <w:spacing w:after="120" w:line="276" w:lineRule="auto"/>
      </w:pPr>
      <w:r>
        <w:rPr>
          <w:rFonts w:ascii="Calibri" w:hAnsi="Calibri" w:cs="Calibri"/>
        </w:rPr>
        <w:t xml:space="preserve">Para os casos que efetivamente migrem para litígio (1% a 3% conforme estudos de mercado de cobrança), o registro autenticado por OTP é o que sustenta a notificação em contraditório judicial. Por essa razão o NotJus captura ambas as camadas simultaneamente: sinais auxiliares (entrega/abertura/leitura) e prova reforçada (autenticação OTP + log de acesso).</w:t>
      </w:r>
    </w:p>
    <w:p>
      <w:pPr>
        <w:spacing w:after="120" w:line="276" w:lineRule="auto"/>
        <w:pStyle w:val="Heading1"/>
      </w:pPr>
      <w:r>
        <w:rPr>
          <w:b/>
          <w:bCs/>
          <w:sz w:val="26"/>
          <w:szCs w:val="26"/>
          <w:color w:val="2E5C9E"/>
          <w:rFonts w:ascii="Calibri" w:hAnsi="Calibri" w:cs="Calibri"/>
        </w:rPr>
        <w:t xml:space="preserve">7. Resposta sintética para terceiros</w:t>
      </w:r>
    </w:p>
    <w:p>
      <w:pPr>
        <w:spacing w:after="240" w:line="276" w:lineRule="auto"/>
        <w:ind w:left="720"/>
      </w:pPr>
      <w:r>
        <w:rPr>
          <w:i/>
          <w:rFonts w:ascii="Calibri" w:hAnsi="Calibri" w:cs="Calibri"/>
        </w:rPr>
        <w:t xml:space="preserve">"O art. 369 do CPC e o Enunciado 619 do CJF permitem usar leitura de WhatsApp, abertura de e-mail e SMS como prova de notificação. Esses sinais isolados, porém, são contestáveis. O NotJus adiciona uma camada extra: além de capturar todos os sinais (entregue, lido, aberto), exige autenticação OTP do destinatário para acessar o conteúdo, registrando IP e dispositivo. Essa autenticação ativa é o que blinda juridicamente a notificação contra contestação — equivalente digital do AR mão própria dos Correios. Para a maioria dos casos extrajudiciais os sinais comuns bastam; para os que viram litígio, é a OTP que sustenta a notificação em juízo."</w:t>
      </w:r>
    </w:p>
    <w:p>
      <w:pPr>
        <w:spacing w:after="120" w:line="276" w:lineRule="auto"/>
        <w:pStyle w:val="Heading2"/>
      </w:pPr>
      <w:r>
        <w:rPr>
          <w:b/>
          <w:bCs/>
          <w:sz w:val="22"/>
          <w:szCs w:val="22"/>
          <w:color w:val="999999"/>
          <w:rFonts w:ascii="Calibri" w:hAnsi="Calibri" w:cs="Calibri"/>
        </w:rPr>
        <w:t xml:space="preserve">Aviso</w:t>
      </w:r>
    </w:p>
    <w:p>
      <w:pPr>
        <w:spacing w:after="120" w:line="276" w:lineRule="auto"/>
      </w:pPr>
      <w:r>
        <w:rPr>
          <w:i/>
          <w:sz w:val="18"/>
          <w:szCs w:val="18"/>
          <w:color w:val="666666"/>
          <w:rFonts w:ascii="Calibri" w:hAnsi="Calibri" w:cs="Calibri"/>
        </w:rPr>
        <w:t xml:space="preserve">Este documento descreve a leitura técnica do fluxo do NotJus à luz da legislação e jurisprudência conhecidas até a data de emissão. Não substitui análise jurídica caso a caso — disputas concretas, especialmente envolvendo consumidores, hipossuficientes ou situações com recortes específicos da LGPD/Marco Civil da Internet, devem ser examinadas pelo departamento jurídico responsável.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styleId="Heading1">
    <w:name w:val="heading 1"/>
    <w:rPr>
      <w:b/>
      <w:sz w:val="32"/>
      <w:color w:val="2E5C9E"/>
    </w:rPr>
  </w:style>
  <w:style w:type="paragraph" w:styleId="Heading2">
    <w:name w:val="heading 2"/>
    <w:rPr>
      <w:b/>
      <w:sz w:val="26"/>
      <w:color w:val="2E5C9E"/>
    </w:rPr>
  </w:style>
  <w:style w:type="table" w:styleId="TableGrid">
    <w:name w:val="Table Grid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